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3631" w:rsidP="00E93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631">
        <w:rPr>
          <w:rFonts w:ascii="Times New Roman" w:hAnsi="Times New Roman" w:cs="Times New Roman"/>
          <w:sz w:val="28"/>
          <w:szCs w:val="28"/>
        </w:rPr>
        <w:t>Водители, не заблуждайтесь зря!</w:t>
      </w:r>
    </w:p>
    <w:p w:rsidR="00D63837" w:rsidRDefault="00D63837" w:rsidP="00E93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</w:t>
      </w:r>
      <w:r w:rsidR="00E93631">
        <w:rPr>
          <w:rFonts w:ascii="Times New Roman" w:hAnsi="Times New Roman" w:cs="Times New Roman"/>
          <w:sz w:val="28"/>
          <w:szCs w:val="28"/>
        </w:rPr>
        <w:t xml:space="preserve">е водители заблуждаются </w:t>
      </w:r>
      <w:r>
        <w:rPr>
          <w:rFonts w:ascii="Times New Roman" w:hAnsi="Times New Roman" w:cs="Times New Roman"/>
          <w:sz w:val="28"/>
          <w:szCs w:val="28"/>
        </w:rPr>
        <w:t>в том</w:t>
      </w:r>
      <w:r w:rsidR="00E93631">
        <w:rPr>
          <w:rFonts w:ascii="Times New Roman" w:hAnsi="Times New Roman" w:cs="Times New Roman"/>
          <w:sz w:val="28"/>
          <w:szCs w:val="28"/>
        </w:rPr>
        <w:t>, что ребенка, не достигшего 12-летнего возраста, можно перевозить на переднем сиденье с использованием приспособления ФЭСТ, которое относится к</w:t>
      </w:r>
      <w:r>
        <w:rPr>
          <w:rFonts w:ascii="Times New Roman" w:hAnsi="Times New Roman" w:cs="Times New Roman"/>
          <w:sz w:val="28"/>
          <w:szCs w:val="28"/>
        </w:rPr>
        <w:t xml:space="preserve"> якобы «</w:t>
      </w:r>
      <w:r w:rsidR="00E93631">
        <w:rPr>
          <w:rFonts w:ascii="Times New Roman" w:hAnsi="Times New Roman" w:cs="Times New Roman"/>
          <w:sz w:val="28"/>
          <w:szCs w:val="28"/>
        </w:rPr>
        <w:t>иным средствам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3631">
        <w:rPr>
          <w:rFonts w:ascii="Times New Roman" w:hAnsi="Times New Roman" w:cs="Times New Roman"/>
          <w:sz w:val="28"/>
          <w:szCs w:val="28"/>
        </w:rPr>
        <w:t>, поскольку фиксирует ребенка при помощи ремней безопасности, предусмотренных конструкцией тра</w:t>
      </w:r>
      <w:r>
        <w:rPr>
          <w:rFonts w:ascii="Times New Roman" w:hAnsi="Times New Roman" w:cs="Times New Roman"/>
          <w:sz w:val="28"/>
          <w:szCs w:val="28"/>
        </w:rPr>
        <w:t>нспортного средства.</w:t>
      </w:r>
    </w:p>
    <w:p w:rsidR="00D63837" w:rsidRDefault="00D63837" w:rsidP="00D638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тем, в силу прямого указания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22.9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на переднем сиденье легкового автомобиля перевозка детей до 12-летнего возраста должна осуществляться только с использованием детских удерживающих устройств, к которым приспособление ФЭСТ не относится (ГОСТ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41.44-2005 </w:t>
      </w:r>
      <w:r w:rsidR="005F77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Единообразные предписания, касающиеся</w:t>
      </w:r>
      <w:r w:rsidR="005F7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удерживающих устройств для детей, находящихся в механических транспортных средствах</w:t>
      </w:r>
      <w:r w:rsidR="005F77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Федерального агентства по техническому регулированию и метрологии от 20 декабря 2005 года N 318-ст)</w:t>
      </w:r>
      <w:r w:rsidR="005F779F">
        <w:rPr>
          <w:rFonts w:ascii="Times New Roman" w:hAnsi="Times New Roman" w:cs="Times New Roman"/>
          <w:sz w:val="28"/>
          <w:szCs w:val="28"/>
        </w:rPr>
        <w:t>.</w:t>
      </w:r>
    </w:p>
    <w:p w:rsidR="00E93631" w:rsidRDefault="005F779F" w:rsidP="005F7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п. 22.9 ПДД влечет привлечение водителя к административной ответственности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3 ст. 12.23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F779F" w:rsidRDefault="005F779F" w:rsidP="005F779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Саракташского района</w:t>
      </w:r>
    </w:p>
    <w:p w:rsidR="00E93631" w:rsidRPr="00E93631" w:rsidRDefault="00E93631" w:rsidP="00E936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3631" w:rsidRPr="00E9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631"/>
    <w:rsid w:val="005F779F"/>
    <w:rsid w:val="00D63837"/>
    <w:rsid w:val="00E9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7810E0A25406107CF96CF65C3FCBE28B3BE36F22241937CF0EE2AC4465666866E49F29921FB65DG1T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2017-09-25T08:09:00Z</dcterms:created>
  <dcterms:modified xsi:type="dcterms:W3CDTF">2017-09-25T08:23:00Z</dcterms:modified>
</cp:coreProperties>
</file>